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69D" w:rsidRPr="000C3DE7" w:rsidRDefault="009E669D" w:rsidP="009E669D">
      <w:pPr>
        <w:spacing w:before="120" w:after="120"/>
        <w:jc w:val="center"/>
        <w:rPr>
          <w:b/>
          <w:sz w:val="32"/>
          <w:szCs w:val="32"/>
        </w:rPr>
      </w:pPr>
      <w:bookmarkStart w:id="0" w:name="_GoBack"/>
      <w:bookmarkEnd w:id="0"/>
      <w:r w:rsidRPr="000C3DE7">
        <w:rPr>
          <w:b/>
          <w:sz w:val="32"/>
          <w:szCs w:val="32"/>
        </w:rPr>
        <w:t>Adatlap</w:t>
      </w:r>
    </w:p>
    <w:p w:rsidR="009E669D" w:rsidRPr="002D53DB" w:rsidRDefault="009E669D" w:rsidP="009E669D">
      <w:pPr>
        <w:jc w:val="center"/>
        <w:rPr>
          <w:b/>
        </w:rPr>
      </w:pPr>
      <w:proofErr w:type="gramStart"/>
      <w:r w:rsidRPr="002D53DB">
        <w:rPr>
          <w:b/>
        </w:rPr>
        <w:t>a</w:t>
      </w:r>
      <w:proofErr w:type="gramEnd"/>
      <w:r w:rsidRPr="002D53DB">
        <w:rPr>
          <w:b/>
        </w:rPr>
        <w:t xml:space="preserve"> közvetítői tevékenységről szóló 2002. évi LV. törvény 15. §</w:t>
      </w:r>
      <w:proofErr w:type="spellStart"/>
      <w:r w:rsidRPr="002D53DB">
        <w:rPr>
          <w:b/>
        </w:rPr>
        <w:t>-</w:t>
      </w:r>
      <w:proofErr w:type="gramStart"/>
      <w:r w:rsidRPr="002D53DB">
        <w:rPr>
          <w:b/>
        </w:rPr>
        <w:t>a</w:t>
      </w:r>
      <w:proofErr w:type="spellEnd"/>
      <w:proofErr w:type="gramEnd"/>
      <w:r w:rsidRPr="002D53DB">
        <w:rPr>
          <w:b/>
        </w:rPr>
        <w:t xml:space="preserve"> alapján</w:t>
      </w:r>
    </w:p>
    <w:p w:rsidR="009E669D" w:rsidRPr="002D53DB" w:rsidRDefault="009E669D" w:rsidP="009E669D"/>
    <w:tbl>
      <w:tblPr>
        <w:tblW w:w="9632" w:type="dxa"/>
        <w:jc w:val="center"/>
        <w:tblLayout w:type="fixed"/>
        <w:tblCellMar>
          <w:left w:w="10" w:type="dxa"/>
          <w:right w:w="10" w:type="dxa"/>
        </w:tblCellMar>
        <w:tblLook w:val="0000" w:firstRow="0" w:lastRow="0" w:firstColumn="0" w:lastColumn="0" w:noHBand="0" w:noVBand="0"/>
      </w:tblPr>
      <w:tblGrid>
        <w:gridCol w:w="320"/>
        <w:gridCol w:w="747"/>
        <w:gridCol w:w="2364"/>
        <w:gridCol w:w="1625"/>
        <w:gridCol w:w="1134"/>
        <w:gridCol w:w="1134"/>
        <w:gridCol w:w="1173"/>
        <w:gridCol w:w="1135"/>
      </w:tblGrid>
      <w:tr w:rsidR="009E669D" w:rsidRPr="002D53DB" w:rsidTr="007C089A">
        <w:trPr>
          <w:cantSplit/>
          <w:trHeight w:val="851"/>
          <w:jc w:val="center"/>
        </w:trPr>
        <w:tc>
          <w:tcPr>
            <w:tcW w:w="505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r w:rsidRPr="007B2215">
              <w:t>Az adatszolgáltatást teljesítő közvetítő</w:t>
            </w:r>
            <w:r>
              <w:rPr>
                <w:rStyle w:val="Lbjegyzet-hivatkozs"/>
              </w:rPr>
              <w:footnoteReference w:id="1"/>
            </w:r>
            <w:r w:rsidRPr="007B2215">
              <w:t xml:space="preserve"> természetes személy neve vagy jogi személy megnevezése</w:t>
            </w:r>
          </w:p>
        </w:tc>
        <w:tc>
          <w:tcPr>
            <w:tcW w:w="457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rsidR="009E669D" w:rsidRPr="002D53DB" w:rsidRDefault="009E669D" w:rsidP="007C089A">
            <w:pPr>
              <w:jc w:val="center"/>
            </w:pPr>
          </w:p>
        </w:tc>
      </w:tr>
      <w:tr w:rsidR="009E669D" w:rsidRPr="002D53DB" w:rsidTr="007C089A">
        <w:trPr>
          <w:cantSplit/>
          <w:trHeight w:val="567"/>
          <w:jc w:val="center"/>
        </w:trPr>
        <w:tc>
          <w:tcPr>
            <w:tcW w:w="505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r>
              <w:t>Nyilvántartási száma</w:t>
            </w:r>
            <w:r>
              <w:rPr>
                <w:rStyle w:val="Lbjegyzet-hivatkozs"/>
              </w:rPr>
              <w:footnoteReference w:id="2"/>
            </w:r>
          </w:p>
        </w:tc>
        <w:tc>
          <w:tcPr>
            <w:tcW w:w="457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rsidR="009E669D" w:rsidRPr="002D53DB" w:rsidRDefault="009E669D" w:rsidP="007C089A">
            <w:pPr>
              <w:jc w:val="center"/>
            </w:pPr>
          </w:p>
        </w:tc>
      </w:tr>
      <w:tr w:rsidR="009E669D" w:rsidRPr="002D53DB" w:rsidTr="007C089A">
        <w:trPr>
          <w:cantSplit/>
          <w:trHeight w:val="567"/>
          <w:jc w:val="center"/>
        </w:trPr>
        <w:tc>
          <w:tcPr>
            <w:tcW w:w="505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r>
              <w:t>Adatszolgáltatás tárgyéve</w:t>
            </w:r>
            <w:r>
              <w:rPr>
                <w:rStyle w:val="Lbjegyzet-hivatkozs"/>
              </w:rPr>
              <w:footnoteReference w:id="3"/>
            </w:r>
          </w:p>
        </w:tc>
        <w:tc>
          <w:tcPr>
            <w:tcW w:w="457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rsidR="009E669D" w:rsidRPr="007B2215" w:rsidRDefault="009E669D" w:rsidP="007C089A">
            <w:pPr>
              <w:jc w:val="center"/>
            </w:pPr>
          </w:p>
        </w:tc>
      </w:tr>
      <w:tr w:rsidR="009E669D" w:rsidRPr="002D53DB" w:rsidTr="007C089A">
        <w:trPr>
          <w:cantSplit/>
          <w:trHeight w:val="567"/>
          <w:jc w:val="center"/>
        </w:trPr>
        <w:tc>
          <w:tcPr>
            <w:tcW w:w="5056" w:type="dxa"/>
            <w:gridSpan w:val="4"/>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center"/>
            </w:pPr>
            <w:r w:rsidRPr="007B2215">
              <w:t>Eljárások gyakorisága</w:t>
            </w:r>
          </w:p>
        </w:tc>
        <w:tc>
          <w:tcPr>
            <w:tcW w:w="344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center"/>
            </w:pPr>
            <w:r w:rsidRPr="007B2215">
              <w:t>A közvetítői eljárással érintett vita jellege</w:t>
            </w:r>
          </w:p>
        </w:tc>
        <w:tc>
          <w:tcPr>
            <w:tcW w:w="1135"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rsidR="009E669D" w:rsidRPr="007B2215" w:rsidRDefault="009E669D" w:rsidP="007C089A">
            <w:pPr>
              <w:jc w:val="center"/>
            </w:pPr>
            <w:r w:rsidRPr="007B2215">
              <w:t>Összesen</w:t>
            </w:r>
          </w:p>
          <w:p w:rsidR="009E669D" w:rsidRPr="007B2215" w:rsidRDefault="009E669D" w:rsidP="007C089A">
            <w:pPr>
              <w:jc w:val="center"/>
            </w:pPr>
            <w:r w:rsidRPr="007B2215">
              <w:t>db</w:t>
            </w:r>
          </w:p>
        </w:tc>
      </w:tr>
      <w:tr w:rsidR="009E669D" w:rsidRPr="002D53DB" w:rsidTr="007C089A">
        <w:trPr>
          <w:cantSplit/>
          <w:trHeight w:val="851"/>
          <w:jc w:val="center"/>
        </w:trPr>
        <w:tc>
          <w:tcPr>
            <w:tcW w:w="5056" w:type="dxa"/>
            <w:gridSpan w:val="4"/>
            <w:vMerge/>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tcPr>
          <w:p w:rsidR="009E669D" w:rsidRPr="007B2215" w:rsidRDefault="009E669D" w:rsidP="007C089A">
            <w:pPr>
              <w:jc w:val="both"/>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center"/>
            </w:pPr>
            <w:r w:rsidRPr="007B2215">
              <w:t>családjog</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center"/>
            </w:pPr>
            <w:r w:rsidRPr="007B2215">
              <w:t>munkajog</w:t>
            </w:r>
          </w:p>
        </w:tc>
        <w:tc>
          <w:tcPr>
            <w:tcW w:w="117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center"/>
            </w:pPr>
            <w:r>
              <w:t>egyéb pol</w:t>
            </w:r>
            <w:r w:rsidRPr="007B2215">
              <w:t>gári jogvita</w:t>
            </w:r>
          </w:p>
        </w:tc>
        <w:tc>
          <w:tcPr>
            <w:tcW w:w="1135"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rsidR="009E669D" w:rsidRPr="007B2215" w:rsidRDefault="009E669D" w:rsidP="007C089A">
            <w:pPr>
              <w:jc w:val="center"/>
            </w:pPr>
          </w:p>
        </w:tc>
      </w:tr>
      <w:tr w:rsidR="009E669D" w:rsidRPr="002D53DB" w:rsidTr="007C089A">
        <w:trPr>
          <w:trHeight w:val="567"/>
          <w:jc w:val="center"/>
        </w:trPr>
        <w:tc>
          <w:tcPr>
            <w:tcW w:w="32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B95876" w:rsidRDefault="009E669D" w:rsidP="007C089A">
            <w:pPr>
              <w:jc w:val="both"/>
              <w:rPr>
                <w:b/>
              </w:rPr>
            </w:pPr>
            <w:r w:rsidRPr="00B95876">
              <w:rPr>
                <w:b/>
              </w:rPr>
              <w:t>1.</w:t>
            </w:r>
          </w:p>
        </w:tc>
        <w:tc>
          <w:tcPr>
            <w:tcW w:w="473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r w:rsidRPr="007B2215">
              <w:t>A tárgyévben lefolytatott közvetítői eljárások száma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tc>
        <w:tc>
          <w:tcPr>
            <w:tcW w:w="117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tc>
        <w:tc>
          <w:tcPr>
            <w:tcW w:w="1135" w:type="dxa"/>
            <w:tcBorders>
              <w:top w:val="single" w:sz="6" w:space="0" w:color="000000"/>
              <w:left w:val="single" w:sz="6"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rsidR="009E669D" w:rsidRPr="007B2215" w:rsidRDefault="009E669D" w:rsidP="007C089A"/>
        </w:tc>
      </w:tr>
      <w:tr w:rsidR="009E669D" w:rsidRPr="002D53DB" w:rsidTr="007C089A">
        <w:trPr>
          <w:trHeight w:val="567"/>
          <w:jc w:val="center"/>
        </w:trPr>
        <w:tc>
          <w:tcPr>
            <w:tcW w:w="32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B95876" w:rsidRDefault="009E669D" w:rsidP="007C089A">
            <w:pPr>
              <w:jc w:val="both"/>
              <w:rPr>
                <w:b/>
              </w:rPr>
            </w:pPr>
            <w:r w:rsidRPr="00B95876">
              <w:rPr>
                <w:b/>
              </w:rPr>
              <w:t>2.</w:t>
            </w:r>
          </w:p>
        </w:tc>
        <w:tc>
          <w:tcPr>
            <w:tcW w:w="473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r w:rsidRPr="007B2215">
              <w:t>Befejezett eljárások száma (összesen)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tc>
        <w:tc>
          <w:tcPr>
            <w:tcW w:w="117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tc>
        <w:tc>
          <w:tcPr>
            <w:tcW w:w="1135" w:type="dxa"/>
            <w:tcBorders>
              <w:top w:val="single" w:sz="6" w:space="0" w:color="000000"/>
              <w:left w:val="single" w:sz="6"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rsidR="009E669D" w:rsidRPr="007B2215" w:rsidRDefault="009E669D" w:rsidP="007C089A"/>
        </w:tc>
      </w:tr>
      <w:tr w:rsidR="009E669D" w:rsidRPr="002D53DB" w:rsidTr="007C089A">
        <w:trPr>
          <w:trHeight w:val="851"/>
          <w:jc w:val="center"/>
        </w:trPr>
        <w:tc>
          <w:tcPr>
            <w:tcW w:w="32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p>
        </w:tc>
        <w:tc>
          <w:tcPr>
            <w:tcW w:w="74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r w:rsidRPr="007B2215">
              <w:t>Ebből</w:t>
            </w:r>
          </w:p>
        </w:tc>
        <w:tc>
          <w:tcPr>
            <w:tcW w:w="39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r w:rsidRPr="007B2215">
              <w:t>az eljárások során megállapodással fejeződött be (eredményes eljárás) 35.§ (1) bekezdés a) pontja szerint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tc>
        <w:tc>
          <w:tcPr>
            <w:tcW w:w="117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tc>
        <w:tc>
          <w:tcPr>
            <w:tcW w:w="1135" w:type="dxa"/>
            <w:tcBorders>
              <w:top w:val="single" w:sz="6" w:space="0" w:color="000000"/>
              <w:left w:val="single" w:sz="6"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rsidR="009E669D" w:rsidRPr="007B2215" w:rsidRDefault="009E669D" w:rsidP="007C089A"/>
        </w:tc>
      </w:tr>
      <w:tr w:rsidR="009E669D" w:rsidRPr="002D53DB" w:rsidTr="007C089A">
        <w:trPr>
          <w:trHeight w:val="567"/>
          <w:jc w:val="center"/>
        </w:trPr>
        <w:tc>
          <w:tcPr>
            <w:tcW w:w="32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p>
        </w:tc>
        <w:tc>
          <w:tcPr>
            <w:tcW w:w="74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p>
        </w:tc>
        <w:tc>
          <w:tcPr>
            <w:tcW w:w="39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r w:rsidRPr="007B2215">
              <w:t>megállapodás nélkül fejeződött be (eredménytelen eljárás)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tc>
        <w:tc>
          <w:tcPr>
            <w:tcW w:w="117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tc>
        <w:tc>
          <w:tcPr>
            <w:tcW w:w="1135" w:type="dxa"/>
            <w:tcBorders>
              <w:top w:val="single" w:sz="6" w:space="0" w:color="000000"/>
              <w:left w:val="single" w:sz="6"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rsidR="009E669D" w:rsidRPr="007B2215" w:rsidRDefault="009E669D" w:rsidP="007C089A"/>
        </w:tc>
      </w:tr>
      <w:tr w:rsidR="009E669D" w:rsidRPr="002D53DB" w:rsidTr="007C089A">
        <w:trPr>
          <w:trHeight w:val="567"/>
          <w:jc w:val="center"/>
        </w:trPr>
        <w:tc>
          <w:tcPr>
            <w:tcW w:w="32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p>
        </w:tc>
        <w:tc>
          <w:tcPr>
            <w:tcW w:w="311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r w:rsidRPr="007B2215">
              <w:t xml:space="preserve">A megállapodás </w:t>
            </w:r>
            <w:proofErr w:type="spellStart"/>
            <w:r w:rsidRPr="007B2215">
              <w:t>elmaradásá-nak</w:t>
            </w:r>
            <w:proofErr w:type="spellEnd"/>
            <w:r w:rsidRPr="007B2215">
              <w:t xml:space="preserve"> oka a Kvtv. 35. § (1) bekezdés </w:t>
            </w:r>
            <w:r w:rsidRPr="007B2215">
              <w:rPr>
                <w:i/>
              </w:rPr>
              <w:t>b)</w:t>
            </w:r>
            <w:proofErr w:type="spellStart"/>
            <w:r w:rsidRPr="007B2215">
              <w:rPr>
                <w:i/>
              </w:rPr>
              <w:t>-d</w:t>
            </w:r>
            <w:proofErr w:type="spellEnd"/>
            <w:r w:rsidRPr="007B2215">
              <w:rPr>
                <w:i/>
              </w:rPr>
              <w:t xml:space="preserve">) </w:t>
            </w:r>
            <w:r w:rsidRPr="007B2215">
              <w:t>pontjai szerint</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r w:rsidRPr="007B2215">
              <w:t>egyik fél</w:t>
            </w:r>
            <w:r w:rsidRPr="007B2215">
              <w:rPr>
                <w:rStyle w:val="Lbjegyzet-hivatkozs"/>
              </w:rPr>
              <w:t xml:space="preserve"> </w:t>
            </w:r>
            <w:r w:rsidRPr="007B2215">
              <w:t>(</w:t>
            </w:r>
            <w:r w:rsidRPr="007B2215">
              <w:rPr>
                <w:i/>
              </w:rPr>
              <w:t>b</w:t>
            </w:r>
            <w:r w:rsidRPr="007B2215">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9E669D" w:rsidRPr="007B2215" w:rsidRDefault="009E669D" w:rsidP="007C089A"/>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9E669D" w:rsidRPr="007B2215" w:rsidRDefault="009E669D" w:rsidP="007C089A"/>
        </w:tc>
        <w:tc>
          <w:tcPr>
            <w:tcW w:w="1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9E669D" w:rsidRPr="007B2215" w:rsidRDefault="009E669D" w:rsidP="007C089A"/>
        </w:tc>
        <w:tc>
          <w:tcPr>
            <w:tcW w:w="1135" w:type="dxa"/>
            <w:tcBorders>
              <w:top w:val="single" w:sz="6" w:space="0" w:color="000000"/>
              <w:left w:val="single" w:sz="6" w:space="0" w:color="000000"/>
              <w:bottom w:val="single" w:sz="6" w:space="0" w:color="000000"/>
              <w:right w:val="single" w:sz="12" w:space="0" w:color="000000"/>
            </w:tcBorders>
            <w:shd w:val="clear" w:color="auto" w:fill="FFFFFF"/>
            <w:tcMar>
              <w:top w:w="0" w:type="dxa"/>
              <w:left w:w="70" w:type="dxa"/>
              <w:bottom w:w="0" w:type="dxa"/>
              <w:right w:w="70" w:type="dxa"/>
            </w:tcMar>
            <w:vAlign w:val="center"/>
          </w:tcPr>
          <w:p w:rsidR="009E669D" w:rsidRPr="007B2215" w:rsidRDefault="009E669D" w:rsidP="007C089A"/>
        </w:tc>
      </w:tr>
      <w:tr w:rsidR="009E669D" w:rsidRPr="002D53DB" w:rsidTr="007C089A">
        <w:trPr>
          <w:trHeight w:val="567"/>
          <w:jc w:val="center"/>
        </w:trPr>
        <w:tc>
          <w:tcPr>
            <w:tcW w:w="32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p>
        </w:tc>
        <w:tc>
          <w:tcPr>
            <w:tcW w:w="311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r w:rsidRPr="007B2215">
              <w:t>mindkét fél (</w:t>
            </w:r>
            <w:r w:rsidRPr="007B2215">
              <w:rPr>
                <w:i/>
              </w:rPr>
              <w:t>c</w:t>
            </w:r>
            <w:r w:rsidRPr="007B2215">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tc>
        <w:tc>
          <w:tcPr>
            <w:tcW w:w="117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tc>
        <w:tc>
          <w:tcPr>
            <w:tcW w:w="1135" w:type="dxa"/>
            <w:tcBorders>
              <w:top w:val="single" w:sz="6" w:space="0" w:color="000000"/>
              <w:left w:val="single" w:sz="6"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rsidR="009E669D" w:rsidRPr="007B2215" w:rsidRDefault="009E669D" w:rsidP="007C089A"/>
        </w:tc>
      </w:tr>
      <w:tr w:rsidR="009E669D" w:rsidRPr="002D53DB" w:rsidTr="007C089A">
        <w:trPr>
          <w:trHeight w:val="567"/>
          <w:jc w:val="center"/>
        </w:trPr>
        <w:tc>
          <w:tcPr>
            <w:tcW w:w="320"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p>
        </w:tc>
        <w:tc>
          <w:tcPr>
            <w:tcW w:w="3111" w:type="dxa"/>
            <w:gridSpan w:val="2"/>
            <w:vMerge/>
            <w:tcBorders>
              <w:top w:val="single" w:sz="6"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p>
        </w:tc>
        <w:tc>
          <w:tcPr>
            <w:tcW w:w="1625" w:type="dxa"/>
            <w:tcBorders>
              <w:top w:val="single" w:sz="6"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pPr>
              <w:jc w:val="both"/>
            </w:pPr>
            <w:r w:rsidRPr="007B2215">
              <w:t>eltelt idő (</w:t>
            </w:r>
            <w:r w:rsidRPr="007B2215">
              <w:rPr>
                <w:i/>
              </w:rPr>
              <w:t>d</w:t>
            </w:r>
            <w:r w:rsidRPr="007B2215">
              <w:t>)</w:t>
            </w:r>
          </w:p>
        </w:tc>
        <w:tc>
          <w:tcPr>
            <w:tcW w:w="1134" w:type="dxa"/>
            <w:tcBorders>
              <w:top w:val="single" w:sz="6"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tc>
        <w:tc>
          <w:tcPr>
            <w:tcW w:w="1134" w:type="dxa"/>
            <w:tcBorders>
              <w:top w:val="single" w:sz="6"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tc>
        <w:tc>
          <w:tcPr>
            <w:tcW w:w="1173" w:type="dxa"/>
            <w:tcBorders>
              <w:top w:val="single" w:sz="6"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vAlign w:val="center"/>
          </w:tcPr>
          <w:p w:rsidR="009E669D" w:rsidRPr="007B2215" w:rsidRDefault="009E669D" w:rsidP="007C089A"/>
        </w:tc>
        <w:tc>
          <w:tcPr>
            <w:tcW w:w="1135" w:type="dxa"/>
            <w:tcBorders>
              <w:top w:val="single" w:sz="6" w:space="0" w:color="000000"/>
              <w:left w:val="single" w:sz="6"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rsidR="009E669D" w:rsidRPr="007B2215" w:rsidRDefault="009E669D" w:rsidP="007C089A"/>
        </w:tc>
      </w:tr>
    </w:tbl>
    <w:p w:rsidR="009E669D" w:rsidRPr="002D53DB" w:rsidRDefault="009E669D" w:rsidP="009E669D">
      <w:pPr>
        <w:jc w:val="both"/>
      </w:pPr>
    </w:p>
    <w:p w:rsidR="009E669D" w:rsidRDefault="009E669D" w:rsidP="009E669D">
      <w:pPr>
        <w:spacing w:line="276" w:lineRule="auto"/>
        <w:jc w:val="both"/>
      </w:pPr>
      <w:r>
        <w:t>Kelt</w:t>
      </w:r>
      <w:proofErr w:type="gramStart"/>
      <w:r>
        <w:t>: …</w:t>
      </w:r>
      <w:proofErr w:type="gramEnd"/>
      <w:r>
        <w:t xml:space="preserve">……………….., 20…. év ....................... </w:t>
      </w:r>
      <w:proofErr w:type="gramStart"/>
      <w:r>
        <w:t>hó</w:t>
      </w:r>
      <w:proofErr w:type="gramEnd"/>
      <w:r>
        <w:t xml:space="preserve"> ....... </w:t>
      </w:r>
      <w:proofErr w:type="gramStart"/>
      <w:r>
        <w:t>nap</w:t>
      </w:r>
      <w:proofErr w:type="gramEnd"/>
    </w:p>
    <w:p w:rsidR="009E669D" w:rsidRDefault="009E669D" w:rsidP="009E669D">
      <w:pPr>
        <w:spacing w:line="276" w:lineRule="auto"/>
        <w:jc w:val="both"/>
      </w:pPr>
    </w:p>
    <w:tbl>
      <w:tblPr>
        <w:tblW w:w="0" w:type="auto"/>
        <w:jc w:val="center"/>
        <w:tblCellMar>
          <w:left w:w="70" w:type="dxa"/>
          <w:right w:w="70" w:type="dxa"/>
        </w:tblCellMar>
        <w:tblLook w:val="04A0" w:firstRow="1" w:lastRow="0" w:firstColumn="1" w:lastColumn="0" w:noHBand="0" w:noVBand="1"/>
      </w:tblPr>
      <w:tblGrid>
        <w:gridCol w:w="4863"/>
        <w:gridCol w:w="4889"/>
      </w:tblGrid>
      <w:tr w:rsidR="009E669D" w:rsidRPr="00F123FA" w:rsidTr="007C089A">
        <w:trPr>
          <w:jc w:val="center"/>
        </w:trPr>
        <w:tc>
          <w:tcPr>
            <w:tcW w:w="4888" w:type="dxa"/>
          </w:tcPr>
          <w:p w:rsidR="009E669D" w:rsidRPr="001D03E7" w:rsidRDefault="009E669D" w:rsidP="007C089A">
            <w:pPr>
              <w:tabs>
                <w:tab w:val="left" w:leader="dot" w:pos="8504"/>
              </w:tabs>
              <w:autoSpaceDE w:val="0"/>
              <w:rPr>
                <w:rFonts w:eastAsia="Courier"/>
              </w:rPr>
            </w:pPr>
          </w:p>
        </w:tc>
        <w:tc>
          <w:tcPr>
            <w:tcW w:w="4889" w:type="dxa"/>
          </w:tcPr>
          <w:p w:rsidR="009E669D" w:rsidRDefault="009E669D" w:rsidP="007C089A">
            <w:pPr>
              <w:tabs>
                <w:tab w:val="left" w:leader="dot" w:pos="8504"/>
              </w:tabs>
              <w:autoSpaceDE w:val="0"/>
              <w:jc w:val="center"/>
              <w:rPr>
                <w:rFonts w:eastAsia="Courier"/>
              </w:rPr>
            </w:pPr>
            <w:r>
              <w:rPr>
                <w:rFonts w:eastAsia="Courier"/>
              </w:rPr>
              <w:t>…………………………………………………..</w:t>
            </w:r>
          </w:p>
          <w:p w:rsidR="009E669D" w:rsidRPr="001D03E7" w:rsidRDefault="009E669D" w:rsidP="007C089A">
            <w:pPr>
              <w:tabs>
                <w:tab w:val="left" w:leader="dot" w:pos="8504"/>
              </w:tabs>
              <w:autoSpaceDE w:val="0"/>
              <w:jc w:val="center"/>
              <w:rPr>
                <w:rFonts w:eastAsia="Courier"/>
              </w:rPr>
            </w:pPr>
            <w:r w:rsidRPr="002D53DB">
              <w:t>(aláírás helye</w:t>
            </w:r>
            <w:r w:rsidRPr="00494E29">
              <w:rPr>
                <w:rStyle w:val="Lbjegyzet-hivatkozs"/>
              </w:rPr>
              <w:footnoteReference w:id="4"/>
            </w:r>
            <w:r w:rsidRPr="00494E29">
              <w:t>)</w:t>
            </w:r>
          </w:p>
        </w:tc>
      </w:tr>
    </w:tbl>
    <w:p w:rsidR="009E669D" w:rsidRPr="002D53DB" w:rsidRDefault="009E669D" w:rsidP="009E669D">
      <w:pPr>
        <w:tabs>
          <w:tab w:val="left" w:pos="0"/>
        </w:tabs>
        <w:rPr>
          <w:i/>
        </w:rPr>
      </w:pPr>
      <w:proofErr w:type="gramStart"/>
      <w:r w:rsidRPr="002D53DB">
        <w:rPr>
          <w:i/>
        </w:rPr>
        <w:t>Előttünk</w:t>
      </w:r>
      <w:proofErr w:type="gramEnd"/>
      <w:r w:rsidRPr="002D53DB">
        <w:rPr>
          <w:i/>
        </w:rPr>
        <w:t xml:space="preserve"> mint tanúk előtt</w:t>
      </w:r>
      <w:r w:rsidRPr="00494E29">
        <w:rPr>
          <w:rStyle w:val="Lbjegyzet-hivatkozs"/>
          <w:i/>
        </w:rPr>
        <w:footnoteReference w:id="5"/>
      </w:r>
      <w:r w:rsidRPr="002D53DB">
        <w:rPr>
          <w:i/>
        </w:rPr>
        <w:t>:</w:t>
      </w:r>
    </w:p>
    <w:p w:rsidR="009E669D" w:rsidRPr="00494E29" w:rsidRDefault="009E669D" w:rsidP="009E669D">
      <w:pPr>
        <w:tabs>
          <w:tab w:val="left" w:pos="0"/>
        </w:tabs>
      </w:pPr>
    </w:p>
    <w:tbl>
      <w:tblPr>
        <w:tblW w:w="0" w:type="auto"/>
        <w:jc w:val="center"/>
        <w:tblCellMar>
          <w:left w:w="70" w:type="dxa"/>
          <w:right w:w="70" w:type="dxa"/>
        </w:tblCellMar>
        <w:tblLook w:val="04A0" w:firstRow="1" w:lastRow="0" w:firstColumn="1" w:lastColumn="0" w:noHBand="0" w:noVBand="1"/>
      </w:tblPr>
      <w:tblGrid>
        <w:gridCol w:w="4876"/>
        <w:gridCol w:w="4876"/>
      </w:tblGrid>
      <w:tr w:rsidR="009E669D" w:rsidRPr="00F123FA" w:rsidTr="007C089A">
        <w:trPr>
          <w:jc w:val="center"/>
        </w:trPr>
        <w:tc>
          <w:tcPr>
            <w:tcW w:w="4888" w:type="dxa"/>
          </w:tcPr>
          <w:p w:rsidR="009E669D" w:rsidRDefault="009E669D" w:rsidP="007C089A">
            <w:pPr>
              <w:tabs>
                <w:tab w:val="left" w:leader="dot" w:pos="8504"/>
              </w:tabs>
              <w:autoSpaceDE w:val="0"/>
              <w:jc w:val="center"/>
              <w:rPr>
                <w:rFonts w:eastAsia="Courier"/>
              </w:rPr>
            </w:pPr>
            <w:r>
              <w:rPr>
                <w:rFonts w:eastAsia="Courier"/>
              </w:rPr>
              <w:t>…………………………………………………..</w:t>
            </w:r>
          </w:p>
          <w:p w:rsidR="009E669D" w:rsidRPr="001D03E7" w:rsidRDefault="009E669D" w:rsidP="007C089A">
            <w:pPr>
              <w:tabs>
                <w:tab w:val="left" w:leader="dot" w:pos="8504"/>
              </w:tabs>
              <w:autoSpaceDE w:val="0"/>
              <w:jc w:val="center"/>
              <w:rPr>
                <w:rFonts w:eastAsia="Courier-Oblique"/>
                <w:bCs/>
              </w:rPr>
            </w:pPr>
            <w:r w:rsidRPr="001D03E7">
              <w:rPr>
                <w:rFonts w:eastAsia="Courier-Oblique"/>
                <w:bCs/>
              </w:rPr>
              <w:t>tanú aláírás</w:t>
            </w:r>
          </w:p>
          <w:p w:rsidR="009E669D" w:rsidRDefault="009E669D" w:rsidP="007C089A">
            <w:pPr>
              <w:tabs>
                <w:tab w:val="left" w:leader="dot" w:pos="8504"/>
              </w:tabs>
              <w:autoSpaceDE w:val="0"/>
              <w:rPr>
                <w:rFonts w:eastAsia="Courier-Bold"/>
              </w:rPr>
            </w:pPr>
          </w:p>
          <w:p w:rsidR="009E669D" w:rsidRPr="001D03E7" w:rsidRDefault="009E669D" w:rsidP="007C089A">
            <w:pPr>
              <w:tabs>
                <w:tab w:val="left" w:leader="dot" w:pos="8504"/>
              </w:tabs>
              <w:autoSpaceDE w:val="0"/>
              <w:rPr>
                <w:rFonts w:eastAsia="Courier"/>
              </w:rPr>
            </w:pPr>
            <w:r w:rsidRPr="001D03E7">
              <w:rPr>
                <w:rFonts w:eastAsia="Courier-Bold"/>
              </w:rPr>
              <w:t>név</w:t>
            </w:r>
            <w:r>
              <w:rPr>
                <w:rStyle w:val="Lbjegyzet-hivatkozs"/>
                <w:rFonts w:eastAsia="Courier-Bold"/>
              </w:rPr>
              <w:footnoteReference w:id="6"/>
            </w:r>
            <w:proofErr w:type="gramStart"/>
            <w:r>
              <w:rPr>
                <w:rFonts w:eastAsia="Courier-Bold"/>
              </w:rPr>
              <w:t xml:space="preserve">: </w:t>
            </w:r>
            <w:r>
              <w:rPr>
                <w:rFonts w:eastAsia="Courier"/>
              </w:rPr>
              <w:t>…</w:t>
            </w:r>
            <w:proofErr w:type="gramEnd"/>
            <w:r>
              <w:rPr>
                <w:rFonts w:eastAsia="Courier"/>
              </w:rPr>
              <w:t>………………………………………….</w:t>
            </w:r>
          </w:p>
          <w:p w:rsidR="009E669D" w:rsidRPr="001D03E7" w:rsidRDefault="009E669D" w:rsidP="007C089A">
            <w:pPr>
              <w:tabs>
                <w:tab w:val="left" w:leader="dot" w:pos="8504"/>
              </w:tabs>
              <w:autoSpaceDE w:val="0"/>
              <w:rPr>
                <w:rFonts w:eastAsia="Courier"/>
              </w:rPr>
            </w:pPr>
          </w:p>
          <w:p w:rsidR="009E669D" w:rsidRPr="001D03E7" w:rsidRDefault="009E669D" w:rsidP="007C089A">
            <w:pPr>
              <w:tabs>
                <w:tab w:val="left" w:leader="dot" w:pos="8504"/>
              </w:tabs>
              <w:autoSpaceDE w:val="0"/>
              <w:rPr>
                <w:rFonts w:eastAsia="Courier"/>
              </w:rPr>
            </w:pPr>
            <w:r>
              <w:rPr>
                <w:rFonts w:eastAsia="Courier"/>
              </w:rPr>
              <w:t>l</w:t>
            </w:r>
            <w:r w:rsidRPr="001D03E7">
              <w:rPr>
                <w:rFonts w:eastAsia="Courier"/>
              </w:rPr>
              <w:t>akcím</w:t>
            </w:r>
            <w:proofErr w:type="gramStart"/>
            <w:r w:rsidRPr="001D03E7">
              <w:rPr>
                <w:rFonts w:eastAsia="Courier"/>
              </w:rPr>
              <w:t xml:space="preserve">: </w:t>
            </w:r>
            <w:r>
              <w:rPr>
                <w:rFonts w:eastAsia="Courier"/>
              </w:rPr>
              <w:t>…</w:t>
            </w:r>
            <w:proofErr w:type="gramEnd"/>
            <w:r>
              <w:rPr>
                <w:rFonts w:eastAsia="Courier"/>
              </w:rPr>
              <w:t>……………………………………….</w:t>
            </w:r>
          </w:p>
        </w:tc>
        <w:tc>
          <w:tcPr>
            <w:tcW w:w="4889" w:type="dxa"/>
          </w:tcPr>
          <w:p w:rsidR="009E669D" w:rsidRDefault="009E669D" w:rsidP="007C089A">
            <w:pPr>
              <w:tabs>
                <w:tab w:val="left" w:leader="dot" w:pos="8504"/>
              </w:tabs>
              <w:autoSpaceDE w:val="0"/>
              <w:jc w:val="center"/>
              <w:rPr>
                <w:rFonts w:eastAsia="Courier"/>
              </w:rPr>
            </w:pPr>
            <w:r>
              <w:rPr>
                <w:rFonts w:eastAsia="Courier"/>
              </w:rPr>
              <w:t>…………………………………………………..</w:t>
            </w:r>
          </w:p>
          <w:p w:rsidR="009E669D" w:rsidRPr="001D03E7" w:rsidRDefault="009E669D" w:rsidP="007C089A">
            <w:pPr>
              <w:tabs>
                <w:tab w:val="left" w:leader="dot" w:pos="8504"/>
              </w:tabs>
              <w:autoSpaceDE w:val="0"/>
              <w:jc w:val="center"/>
              <w:rPr>
                <w:rFonts w:eastAsia="Courier-Oblique"/>
                <w:bCs/>
              </w:rPr>
            </w:pPr>
            <w:r w:rsidRPr="001D03E7">
              <w:rPr>
                <w:rFonts w:eastAsia="Courier-Oblique"/>
                <w:bCs/>
              </w:rPr>
              <w:t>tanú aláírás</w:t>
            </w:r>
          </w:p>
          <w:p w:rsidR="009E669D" w:rsidRDefault="009E669D" w:rsidP="007C089A">
            <w:pPr>
              <w:tabs>
                <w:tab w:val="left" w:leader="dot" w:pos="8504"/>
              </w:tabs>
              <w:autoSpaceDE w:val="0"/>
              <w:rPr>
                <w:rFonts w:eastAsia="Courier-Bold"/>
              </w:rPr>
            </w:pPr>
          </w:p>
          <w:p w:rsidR="009E669D" w:rsidRDefault="009E669D" w:rsidP="007C089A">
            <w:pPr>
              <w:tabs>
                <w:tab w:val="left" w:leader="dot" w:pos="8504"/>
              </w:tabs>
              <w:autoSpaceDE w:val="0"/>
              <w:rPr>
                <w:rFonts w:eastAsia="Courier"/>
              </w:rPr>
            </w:pPr>
            <w:r w:rsidRPr="001D03E7">
              <w:rPr>
                <w:rFonts w:eastAsia="Courier-Bold"/>
              </w:rPr>
              <w:t>név</w:t>
            </w:r>
            <w:proofErr w:type="gramStart"/>
            <w:r>
              <w:rPr>
                <w:rFonts w:eastAsia="Courier-Bold"/>
              </w:rPr>
              <w:t xml:space="preserve">: </w:t>
            </w:r>
            <w:r>
              <w:rPr>
                <w:rFonts w:eastAsia="Courier"/>
              </w:rPr>
              <w:t>…</w:t>
            </w:r>
            <w:proofErr w:type="gramEnd"/>
            <w:r>
              <w:rPr>
                <w:rFonts w:eastAsia="Courier"/>
              </w:rPr>
              <w:t>…………………………………………..</w:t>
            </w:r>
          </w:p>
          <w:p w:rsidR="009E669D" w:rsidRDefault="009E669D" w:rsidP="007C089A">
            <w:pPr>
              <w:tabs>
                <w:tab w:val="left" w:leader="dot" w:pos="8504"/>
              </w:tabs>
              <w:autoSpaceDE w:val="0"/>
              <w:rPr>
                <w:rFonts w:eastAsia="Courier"/>
              </w:rPr>
            </w:pPr>
          </w:p>
          <w:p w:rsidR="009E669D" w:rsidRPr="001D03E7" w:rsidRDefault="009E669D" w:rsidP="007C089A">
            <w:pPr>
              <w:tabs>
                <w:tab w:val="left" w:leader="dot" w:pos="8504"/>
              </w:tabs>
              <w:autoSpaceDE w:val="0"/>
              <w:rPr>
                <w:rFonts w:eastAsia="Courier"/>
              </w:rPr>
            </w:pPr>
            <w:r>
              <w:rPr>
                <w:rFonts w:eastAsia="Courier"/>
              </w:rPr>
              <w:t>l</w:t>
            </w:r>
            <w:r w:rsidRPr="001D03E7">
              <w:rPr>
                <w:rFonts w:eastAsia="Courier"/>
              </w:rPr>
              <w:t>akcím</w:t>
            </w:r>
            <w:proofErr w:type="gramStart"/>
            <w:r w:rsidRPr="001D03E7">
              <w:rPr>
                <w:rFonts w:eastAsia="Courier"/>
              </w:rPr>
              <w:t xml:space="preserve">: </w:t>
            </w:r>
            <w:r>
              <w:rPr>
                <w:rFonts w:eastAsia="Courier"/>
              </w:rPr>
              <w:t>…</w:t>
            </w:r>
            <w:proofErr w:type="gramEnd"/>
            <w:r>
              <w:rPr>
                <w:rFonts w:eastAsia="Courier"/>
              </w:rPr>
              <w:t>……………………………………….</w:t>
            </w:r>
          </w:p>
        </w:tc>
      </w:tr>
    </w:tbl>
    <w:p w:rsidR="009E669D" w:rsidRPr="002D53DB" w:rsidRDefault="009E669D" w:rsidP="009E669D">
      <w:pPr>
        <w:tabs>
          <w:tab w:val="left" w:pos="0"/>
        </w:tabs>
        <w:jc w:val="center"/>
        <w:rPr>
          <w:b/>
          <w:sz w:val="28"/>
          <w:szCs w:val="28"/>
        </w:rPr>
      </w:pPr>
      <w:r>
        <w:br w:type="page"/>
      </w:r>
      <w:r>
        <w:rPr>
          <w:b/>
          <w:sz w:val="28"/>
          <w:szCs w:val="28"/>
        </w:rPr>
        <w:lastRenderedPageBreak/>
        <w:t>Kitöltési útmutató az „Adatlap a közvetítői tevékenységről szóló 2002. évi LV. törvény 15. §</w:t>
      </w:r>
      <w:proofErr w:type="spellStart"/>
      <w:r>
        <w:rPr>
          <w:b/>
          <w:sz w:val="28"/>
          <w:szCs w:val="28"/>
        </w:rPr>
        <w:t>-</w:t>
      </w:r>
      <w:proofErr w:type="gramStart"/>
      <w:r>
        <w:rPr>
          <w:b/>
          <w:sz w:val="28"/>
          <w:szCs w:val="28"/>
        </w:rPr>
        <w:t>a</w:t>
      </w:r>
      <w:proofErr w:type="spellEnd"/>
      <w:proofErr w:type="gramEnd"/>
      <w:r>
        <w:rPr>
          <w:b/>
          <w:sz w:val="28"/>
          <w:szCs w:val="28"/>
        </w:rPr>
        <w:t xml:space="preserve"> alapján” adatlaphoz</w:t>
      </w:r>
    </w:p>
    <w:p w:rsidR="009E669D" w:rsidRPr="00494E29" w:rsidRDefault="009E669D" w:rsidP="009E669D">
      <w:pPr>
        <w:jc w:val="center"/>
        <w:rPr>
          <w:b/>
        </w:rPr>
      </w:pPr>
    </w:p>
    <w:p w:rsidR="009E669D" w:rsidRPr="002D53DB" w:rsidRDefault="009E669D" w:rsidP="009E669D">
      <w:pPr>
        <w:rPr>
          <w:b/>
        </w:rPr>
      </w:pPr>
      <w:r w:rsidRPr="002D53DB">
        <w:rPr>
          <w:b/>
        </w:rPr>
        <w:t>Jogszabályi háttér</w:t>
      </w:r>
    </w:p>
    <w:p w:rsidR="009E669D" w:rsidRPr="00B271E5" w:rsidRDefault="009E669D" w:rsidP="009E669D">
      <w:pPr>
        <w:jc w:val="both"/>
      </w:pPr>
    </w:p>
    <w:p w:rsidR="009E669D" w:rsidRPr="00495E7B" w:rsidRDefault="009E669D" w:rsidP="009E669D">
      <w:pPr>
        <w:jc w:val="both"/>
        <w:rPr>
          <w:b/>
        </w:rPr>
      </w:pPr>
      <w:r w:rsidRPr="008F1FA3">
        <w:t>Az adatlap kitöltésével az adatszolgáltatásra kötelezett közvetítő a közvetítői tevékenységről szóló 2002. évi LV. törvény 15. §</w:t>
      </w:r>
      <w:proofErr w:type="spellStart"/>
      <w:r w:rsidRPr="008F1FA3">
        <w:t>-ában</w:t>
      </w:r>
      <w:proofErr w:type="spellEnd"/>
      <w:r w:rsidRPr="008F1FA3">
        <w:t xml:space="preserve"> előírt törvényi kötelezettségét teljesíti</w:t>
      </w:r>
      <w:r w:rsidRPr="008F1FA3">
        <w:rPr>
          <w:rStyle w:val="Lbjegyzet-hivatkozs"/>
        </w:rPr>
        <w:footnoteReference w:id="7"/>
      </w:r>
      <w:r w:rsidRPr="008F1FA3">
        <w:t>.</w:t>
      </w:r>
      <w:r w:rsidRPr="00495E7B">
        <w:rPr>
          <w:b/>
          <w:bCs/>
        </w:rPr>
        <w:t xml:space="preserve"> </w:t>
      </w:r>
      <w:r w:rsidRPr="00B271E5">
        <w:rPr>
          <w:b/>
          <w:bCs/>
        </w:rPr>
        <w:t>Az adatszolgáltatás teljesítésére kizárólag a „Adatlap a közvetítői tevékenységről szóló 2002. évi LV. törvény 15. §</w:t>
      </w:r>
      <w:proofErr w:type="spellStart"/>
      <w:r w:rsidRPr="00B271E5">
        <w:rPr>
          <w:b/>
          <w:bCs/>
        </w:rPr>
        <w:t>-</w:t>
      </w:r>
      <w:proofErr w:type="gramStart"/>
      <w:r w:rsidRPr="00B271E5">
        <w:rPr>
          <w:b/>
          <w:bCs/>
        </w:rPr>
        <w:t>a</w:t>
      </w:r>
      <w:proofErr w:type="spellEnd"/>
      <w:proofErr w:type="gramEnd"/>
      <w:r w:rsidRPr="00B271E5">
        <w:rPr>
          <w:b/>
          <w:bCs/>
        </w:rPr>
        <w:t xml:space="preserve"> alapján” szolgál.</w:t>
      </w:r>
    </w:p>
    <w:p w:rsidR="009E669D" w:rsidRPr="00B271E5" w:rsidRDefault="009E669D" w:rsidP="009E669D">
      <w:pPr>
        <w:jc w:val="both"/>
      </w:pPr>
    </w:p>
    <w:p w:rsidR="009E669D" w:rsidRPr="007C089A" w:rsidRDefault="009E669D" w:rsidP="009E669D">
      <w:pPr>
        <w:jc w:val="both"/>
        <w:rPr>
          <w:strike/>
        </w:rPr>
      </w:pPr>
      <w:r w:rsidRPr="007C089A">
        <w:t>Az adatszolgáltatási kötelezettség a közvetítő természetes személyek és jogi személyek vonatkozásban a vonatkozó adatlap kitöltésével egyaránt fennáll.</w:t>
      </w:r>
    </w:p>
    <w:p w:rsidR="009E669D" w:rsidRPr="00722E3D" w:rsidRDefault="009E669D" w:rsidP="009E669D">
      <w:pPr>
        <w:jc w:val="both"/>
      </w:pPr>
    </w:p>
    <w:p w:rsidR="009E669D" w:rsidRPr="008F1FA3" w:rsidRDefault="009E669D" w:rsidP="009E669D">
      <w:pPr>
        <w:suppressAutoHyphens w:val="0"/>
        <w:autoSpaceDN/>
        <w:spacing w:after="200"/>
        <w:jc w:val="both"/>
        <w:textAlignment w:val="auto"/>
      </w:pPr>
      <w:r w:rsidRPr="00722E3D">
        <w:rPr>
          <w:rFonts w:eastAsiaTheme="minorHAnsi"/>
          <w:szCs w:val="22"/>
          <w:lang w:eastAsia="en-US"/>
        </w:rPr>
        <w:t>Az adatlapot az</w:t>
      </w:r>
      <w:r w:rsidRPr="00722E3D">
        <w:rPr>
          <w:rFonts w:eastAsiaTheme="minorHAnsi"/>
          <w:b/>
          <w:szCs w:val="22"/>
          <w:lang w:eastAsia="en-US"/>
        </w:rPr>
        <w:t xml:space="preserve"> Igazságügyi Minisztérium </w:t>
      </w:r>
      <w:r w:rsidRPr="007C089A">
        <w:rPr>
          <w:rFonts w:eastAsiaTheme="minorHAnsi"/>
          <w:b/>
          <w:szCs w:val="22"/>
          <w:lang w:eastAsia="en-US"/>
        </w:rPr>
        <w:t xml:space="preserve">Igazságügyi Köztestület Felügyeleti Főosztály </w:t>
      </w:r>
      <w:r w:rsidRPr="00722E3D">
        <w:rPr>
          <w:rFonts w:eastAsiaTheme="minorHAnsi"/>
          <w:b/>
          <w:szCs w:val="22"/>
          <w:lang w:eastAsia="en-US"/>
        </w:rPr>
        <w:t xml:space="preserve">(Postacím: 1357 Budapest, Pf. 2.) </w:t>
      </w:r>
      <w:r w:rsidRPr="00722E3D">
        <w:rPr>
          <w:rFonts w:eastAsiaTheme="minorHAnsi"/>
          <w:szCs w:val="22"/>
          <w:lang w:eastAsia="en-US"/>
        </w:rPr>
        <w:t>részére kell megküldeni ajánlott küldeményként.</w:t>
      </w:r>
      <w:r w:rsidRPr="00722E3D">
        <w:rPr>
          <w:rFonts w:eastAsiaTheme="minorHAnsi"/>
          <w:b/>
          <w:szCs w:val="22"/>
          <w:lang w:eastAsia="en-US"/>
        </w:rPr>
        <w:t xml:space="preserve"> Az adatlap az Igazságügyi Minisztérium részére e-mail-en is elküldhető a </w:t>
      </w:r>
      <w:proofErr w:type="spellStart"/>
      <w:r w:rsidRPr="007C089A">
        <w:rPr>
          <w:rFonts w:eastAsiaTheme="minorHAnsi"/>
          <w:b/>
          <w:szCs w:val="22"/>
          <w:u w:val="single"/>
          <w:lang w:eastAsia="en-US"/>
        </w:rPr>
        <w:t>kozvetitok</w:t>
      </w:r>
      <w:proofErr w:type="spellEnd"/>
      <w:r w:rsidRPr="007C089A">
        <w:rPr>
          <w:rFonts w:eastAsiaTheme="minorHAnsi"/>
          <w:b/>
          <w:szCs w:val="22"/>
          <w:u w:val="single"/>
          <w:lang w:eastAsia="en-US"/>
        </w:rPr>
        <w:t>@im.gov.hu</w:t>
      </w:r>
      <w:r w:rsidRPr="00722E3D">
        <w:rPr>
          <w:rFonts w:eastAsiaTheme="minorHAnsi"/>
          <w:b/>
          <w:szCs w:val="22"/>
          <w:lang w:eastAsia="en-US"/>
        </w:rPr>
        <w:t xml:space="preserve"> e-mail címre a kézbesítést igazoló módon</w:t>
      </w:r>
      <w:r>
        <w:rPr>
          <w:rFonts w:eastAsiaTheme="minorHAnsi"/>
          <w:b/>
          <w:i/>
          <w:szCs w:val="22"/>
          <w:lang w:eastAsia="en-US"/>
        </w:rPr>
        <w:t xml:space="preserve">. </w:t>
      </w:r>
      <w:r w:rsidRPr="008F1FA3">
        <w:t xml:space="preserve">Teljes bizonyító erejű magánokirat vonatkozásában a polgári perrendtartásról szóló </w:t>
      </w:r>
      <w:r w:rsidRPr="00090412">
        <w:rPr>
          <w:i/>
        </w:rPr>
        <w:t xml:space="preserve">2016. évi CXXX. törvény 325. § </w:t>
      </w:r>
      <w:proofErr w:type="spellStart"/>
      <w:r w:rsidRPr="00090412">
        <w:rPr>
          <w:i/>
        </w:rPr>
        <w:t>-ban</w:t>
      </w:r>
      <w:proofErr w:type="spellEnd"/>
      <w:r>
        <w:t xml:space="preserve"> </w:t>
      </w:r>
      <w:r w:rsidRPr="008F1FA3">
        <w:t>foglalt szabályozás az irányadó.</w:t>
      </w:r>
    </w:p>
    <w:p w:rsidR="009E669D" w:rsidRPr="008F1FA3" w:rsidRDefault="009E669D" w:rsidP="009E669D">
      <w:pPr>
        <w:jc w:val="both"/>
      </w:pPr>
      <w:r w:rsidRPr="008F1FA3">
        <w:t>Cégszerű aláírás vonatkozásában (aláírásnál) a cégnyilvánosságról, a bírósági cégeljárásról és a végelszámolásról szóló 2006. évi V. törvény (képviselet; cégjegyzés 8. §) rendelkezései irányadóak.</w:t>
      </w:r>
    </w:p>
    <w:p w:rsidR="009E669D" w:rsidRPr="00B271E5" w:rsidRDefault="009E669D" w:rsidP="009E669D">
      <w:pPr>
        <w:jc w:val="both"/>
      </w:pPr>
    </w:p>
    <w:p w:rsidR="009E669D" w:rsidRPr="00B271E5" w:rsidRDefault="009E669D" w:rsidP="009E669D">
      <w:pPr>
        <w:jc w:val="both"/>
        <w:rPr>
          <w:b/>
        </w:rPr>
      </w:pPr>
      <w:r w:rsidRPr="00B271E5">
        <w:rPr>
          <w:b/>
        </w:rPr>
        <w:t>Kitöltési útmutató</w:t>
      </w:r>
    </w:p>
    <w:p w:rsidR="009E669D" w:rsidRPr="00B271E5" w:rsidRDefault="009E669D" w:rsidP="009E669D">
      <w:pPr>
        <w:jc w:val="both"/>
      </w:pPr>
    </w:p>
    <w:p w:rsidR="009E669D" w:rsidRPr="00495E7B" w:rsidRDefault="009E669D" w:rsidP="009E669D">
      <w:pPr>
        <w:jc w:val="both"/>
      </w:pPr>
      <w:r w:rsidRPr="00495E7B">
        <w:t>A tárgyév (az adatszolgáltatással érintett időszak) dátum megjelölésével adható meg.</w:t>
      </w:r>
    </w:p>
    <w:p w:rsidR="009E669D" w:rsidRPr="00495E7B" w:rsidRDefault="009E669D" w:rsidP="009E669D">
      <w:pPr>
        <w:jc w:val="both"/>
      </w:pPr>
    </w:p>
    <w:p w:rsidR="009E669D" w:rsidRPr="00090412" w:rsidRDefault="009E669D" w:rsidP="009E669D">
      <w:pPr>
        <w:jc w:val="both"/>
      </w:pPr>
      <w:r w:rsidRPr="00495E7B">
        <w:t xml:space="preserve">Az adatszolgáltatásra kötelezett nevét (megnevezését) kérjük </w:t>
      </w:r>
      <w:r w:rsidRPr="00711598">
        <w:t>nyomtatott betűvel, olvashatóan kitölteni</w:t>
      </w:r>
      <w:r w:rsidRPr="00495E7B">
        <w:t>, jogi személy esetén felhívjuk a szíves figyelmet a cégszerű aláírásra.</w:t>
      </w:r>
      <w:r>
        <w:t xml:space="preserve"> </w:t>
      </w:r>
      <w:r w:rsidRPr="00090412">
        <w:t>Egy adatlapon egy közvetítő – természetes vagy jogi személy – adatszolgáltatása szerepelhet.</w:t>
      </w:r>
    </w:p>
    <w:p w:rsidR="009E669D" w:rsidRPr="00090412" w:rsidRDefault="009E669D" w:rsidP="009E669D">
      <w:pPr>
        <w:jc w:val="both"/>
      </w:pPr>
    </w:p>
    <w:p w:rsidR="009E669D" w:rsidRPr="005C7A2E" w:rsidRDefault="009E669D" w:rsidP="009E669D">
      <w:pPr>
        <w:jc w:val="both"/>
        <w:rPr>
          <w:i/>
        </w:rPr>
      </w:pPr>
      <w:r w:rsidRPr="00090412">
        <w:t>Nyilvántartási számként a közvetítői névjegyzékbe történő bejegyzéskor kapott igazoláson szereplő T/ kezdetű nyilvántartási számot kérjük feltüntetni</w:t>
      </w:r>
      <w:r w:rsidRPr="00090412">
        <w:rPr>
          <w:i/>
        </w:rPr>
        <w:t>.</w:t>
      </w:r>
    </w:p>
    <w:p w:rsidR="009E669D" w:rsidRPr="00495E7B" w:rsidRDefault="009E669D" w:rsidP="009E669D">
      <w:pPr>
        <w:jc w:val="both"/>
      </w:pPr>
    </w:p>
    <w:p w:rsidR="009E669D" w:rsidRPr="005C7A2E" w:rsidRDefault="009E669D" w:rsidP="009E669D">
      <w:pPr>
        <w:jc w:val="both"/>
        <w:rPr>
          <w:highlight w:val="yellow"/>
        </w:rPr>
      </w:pPr>
      <w:r w:rsidRPr="00495E7B">
        <w:t xml:space="preserve">A táblázat mezőit </w:t>
      </w:r>
      <w:r w:rsidRPr="005C7A2E">
        <w:rPr>
          <w:b/>
        </w:rPr>
        <w:t>arab számokkal kell kitölteni</w:t>
      </w:r>
      <w:r>
        <w:t>.</w:t>
      </w:r>
      <w:r w:rsidRPr="00495E7B">
        <w:t xml:space="preserve"> </w:t>
      </w:r>
      <w:r w:rsidRPr="00090412">
        <w:t>Amennyiben a tárgyévben</w:t>
      </w:r>
      <w:r>
        <w:t xml:space="preserve"> </w:t>
      </w:r>
      <w:r w:rsidRPr="00495E7B">
        <w:t>egyáltalán nem volt közvetítői üg</w:t>
      </w:r>
      <w:r w:rsidRPr="00090412">
        <w:t>y</w:t>
      </w:r>
      <w:r w:rsidRPr="00090412">
        <w:rPr>
          <w:i/>
        </w:rPr>
        <w:t>,</w:t>
      </w:r>
      <w:r w:rsidRPr="00495E7B">
        <w:t xml:space="preserve"> elegendő a jobb szélső oszlop („Összesen”) 1. és 2. sorát értelemszerűen (0, X vagy – </w:t>
      </w:r>
      <w:r w:rsidRPr="00090412">
        <w:t xml:space="preserve">jellel) kitölteni. </w:t>
      </w:r>
    </w:p>
    <w:p w:rsidR="009E669D" w:rsidRPr="00090412" w:rsidRDefault="009E669D" w:rsidP="009E669D">
      <w:pPr>
        <w:jc w:val="both"/>
        <w:rPr>
          <w:highlight w:val="yellow"/>
        </w:rPr>
      </w:pPr>
    </w:p>
    <w:p w:rsidR="009E669D" w:rsidRPr="00090412" w:rsidRDefault="009E669D" w:rsidP="009E669D">
      <w:pPr>
        <w:jc w:val="both"/>
      </w:pPr>
      <w:r w:rsidRPr="00090412">
        <w:t xml:space="preserve">Az adatlapot </w:t>
      </w:r>
      <w:r w:rsidRPr="00090412">
        <w:rPr>
          <w:b/>
        </w:rPr>
        <w:t>keltezéssel és saját kezű aláírással</w:t>
      </w:r>
      <w:r w:rsidRPr="00090412">
        <w:t>, valamint természetes személy közvetítő esetében a tanúk nyomtatott nagybetűkkel feltüntetett nevével, lakcímével és aláírásával kell ellátni.</w:t>
      </w:r>
    </w:p>
    <w:p w:rsidR="009E669D" w:rsidRPr="00B271E5" w:rsidRDefault="009E669D" w:rsidP="009E669D">
      <w:pPr>
        <w:jc w:val="both"/>
      </w:pPr>
    </w:p>
    <w:p w:rsidR="009E669D" w:rsidRPr="00495E7B" w:rsidRDefault="009E669D" w:rsidP="009E669D">
      <w:pPr>
        <w:jc w:val="both"/>
        <w:rPr>
          <w:b/>
        </w:rPr>
      </w:pPr>
      <w:r w:rsidRPr="00495E7B">
        <w:rPr>
          <w:b/>
        </w:rPr>
        <w:t>Adatszolgáltatói javítás (helyesbítés)</w:t>
      </w:r>
    </w:p>
    <w:p w:rsidR="009E669D" w:rsidRDefault="009E669D" w:rsidP="009E669D">
      <w:pPr>
        <w:jc w:val="both"/>
      </w:pPr>
    </w:p>
    <w:p w:rsidR="009E669D" w:rsidRDefault="009E669D" w:rsidP="009E669D">
      <w:pPr>
        <w:jc w:val="both"/>
      </w:pPr>
      <w:r w:rsidRPr="00B271E5">
        <w:t>Adatszolgáltatói javításról (helyesbítésről) akkor van szó, amikor az adatszolgáltató utólag észleli, hogy az Igazságügyi Minisztérium által elfogadott adatszolgáltatás bármely adata téves, vagy valamely adat az elfogadott adatszolgáltatásból kimaradt, azaz az adatszolgáltatás nem teljes körű. Adatszolgáltatói javítás (helyesbítés) esetén az „új” adatokkal valamennyi – az adatszolgáltató javítással (helyesbítéssel) érintett adatszolgáltatáson szerepeltetett – rovatot ki kell tölteni. Amennyiben az adatszolgáltatási javítással (helyesbítéssel érintett adatszolgáltatáson olyan adat szerepelt, amelyet az adatszolgáltatási javítás (helyesbítés) nem érint, úgy az adatszolgáltatási javítással (helyesbítéssel) érintett adatszolgáltatáson közölt adatot meg kell ismételni.</w:t>
      </w:r>
    </w:p>
    <w:p w:rsidR="00DA288E" w:rsidRDefault="00DA288E"/>
    <w:sectPr w:rsidR="00DA288E" w:rsidSect="002728DF">
      <w:pgSz w:w="11906" w:h="16838"/>
      <w:pgMar w:top="851" w:right="1077" w:bottom="426" w:left="107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258" w:rsidRDefault="00946258" w:rsidP="009E669D">
      <w:r>
        <w:separator/>
      </w:r>
    </w:p>
  </w:endnote>
  <w:endnote w:type="continuationSeparator" w:id="0">
    <w:p w:rsidR="00946258" w:rsidRDefault="00946258" w:rsidP="009E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Oblique">
    <w:charset w:val="00"/>
    <w:family w:val="modern"/>
    <w:pitch w:val="default"/>
  </w:font>
  <w:font w:name="Courier-Bold">
    <w:charset w:val="00"/>
    <w:family w:val="moder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258" w:rsidRDefault="00946258" w:rsidP="009E669D">
      <w:r>
        <w:separator/>
      </w:r>
    </w:p>
  </w:footnote>
  <w:footnote w:type="continuationSeparator" w:id="0">
    <w:p w:rsidR="00946258" w:rsidRDefault="00946258" w:rsidP="009E669D">
      <w:r>
        <w:continuationSeparator/>
      </w:r>
    </w:p>
  </w:footnote>
  <w:footnote w:id="1">
    <w:p w:rsidR="009E669D" w:rsidRPr="00A16170" w:rsidRDefault="009E669D" w:rsidP="009E669D">
      <w:pPr>
        <w:pStyle w:val="Lbjegyzetszveg"/>
        <w:jc w:val="both"/>
      </w:pPr>
      <w:r>
        <w:rPr>
          <w:rStyle w:val="Lbjegyzet-hivatkozs"/>
        </w:rPr>
        <w:t>1</w:t>
      </w:r>
      <w:r w:rsidRPr="00A16170">
        <w:t xml:space="preserve"> Adatszolgáltatásra kötelezett </w:t>
      </w:r>
      <w:r w:rsidRPr="00FC4A2D">
        <w:t xml:space="preserve">a természetes személy közvetítő és a </w:t>
      </w:r>
      <w:r w:rsidRPr="007C089A">
        <w:t xml:space="preserve">természetes személy </w:t>
      </w:r>
      <w:r w:rsidRPr="00A16170">
        <w:t>közvetít</w:t>
      </w:r>
      <w:r>
        <w:t xml:space="preserve">őket foglalkoztató jogi személy, </w:t>
      </w:r>
      <w:r w:rsidRPr="00A16170">
        <w:t>amely az igazságügyért felelős miniszter által vezetett közvetítői névjegyzékben szerepel.</w:t>
      </w:r>
    </w:p>
  </w:footnote>
  <w:footnote w:id="2">
    <w:p w:rsidR="009E669D" w:rsidRDefault="009E669D" w:rsidP="009E669D">
      <w:pPr>
        <w:pStyle w:val="Lbjegyzetszveg"/>
      </w:pPr>
      <w:r>
        <w:rPr>
          <w:rStyle w:val="Lbjegyzet-hivatkozs"/>
        </w:rPr>
        <w:t>2</w:t>
      </w:r>
      <w:r>
        <w:t xml:space="preserve"> A közvetítői névjegyzékben és a közvetítői igazolványon is szereplő nyilvántartási szám.</w:t>
      </w:r>
    </w:p>
  </w:footnote>
  <w:footnote w:id="3">
    <w:p w:rsidR="009E669D" w:rsidRPr="00A16170" w:rsidRDefault="009E669D" w:rsidP="009E669D">
      <w:pPr>
        <w:pStyle w:val="Lbjegyzetszveg"/>
        <w:jc w:val="both"/>
      </w:pPr>
      <w:r>
        <w:rPr>
          <w:rStyle w:val="Lbjegyzet-hivatkozs"/>
        </w:rPr>
        <w:t>3</w:t>
      </w:r>
      <w:r w:rsidRPr="00A16170">
        <w:t xml:space="preserve"> Adatszolgáltatási időszak vonatkozásában tárgyév: minden év január 1.– december 31. közötti időszak.</w:t>
      </w:r>
    </w:p>
  </w:footnote>
  <w:footnote w:id="4">
    <w:p w:rsidR="009E669D" w:rsidRPr="00A16170" w:rsidRDefault="009E669D" w:rsidP="009E669D">
      <w:pPr>
        <w:pStyle w:val="Lbjegyzetszveg"/>
        <w:jc w:val="both"/>
      </w:pPr>
      <w:r>
        <w:rPr>
          <w:rStyle w:val="Lbjegyzet-hivatkozs"/>
        </w:rPr>
        <w:t>4</w:t>
      </w:r>
      <w:r w:rsidRPr="00A16170">
        <w:t xml:space="preserve"> Nem természetes személy aláírás esetén, cégszerű aláírással, illetve a gazdasági társaságra vonatkozó szabályok szerint.</w:t>
      </w:r>
    </w:p>
  </w:footnote>
  <w:footnote w:id="5">
    <w:p w:rsidR="009E669D" w:rsidRPr="00A16170" w:rsidRDefault="009E669D" w:rsidP="009E669D">
      <w:pPr>
        <w:pStyle w:val="Lbjegyzetszveg"/>
        <w:jc w:val="both"/>
      </w:pPr>
      <w:r>
        <w:rPr>
          <w:rStyle w:val="Lbjegyzet-hivatkozs"/>
        </w:rPr>
        <w:t>5</w:t>
      </w:r>
      <w:r w:rsidRPr="00A16170">
        <w:t xml:space="preserve"> Természetes személy aláírása esetén kell kitölteni.</w:t>
      </w:r>
    </w:p>
  </w:footnote>
  <w:footnote w:id="6">
    <w:p w:rsidR="009E669D" w:rsidRDefault="009E669D" w:rsidP="009E669D">
      <w:pPr>
        <w:pStyle w:val="Lbjegyzetszveg"/>
        <w:jc w:val="both"/>
      </w:pPr>
      <w:r>
        <w:rPr>
          <w:rStyle w:val="Lbjegyzet-hivatkozs"/>
        </w:rPr>
        <w:t>6</w:t>
      </w:r>
      <w:r w:rsidRPr="00A16170">
        <w:t xml:space="preserve"> Nyomtatott betűkkel kell kitölteni.</w:t>
      </w:r>
    </w:p>
  </w:footnote>
  <w:footnote w:id="7">
    <w:p w:rsidR="009E669D" w:rsidRPr="00495E7B" w:rsidRDefault="009E669D" w:rsidP="009E669D">
      <w:pPr>
        <w:pStyle w:val="Lbjegyzetszveg"/>
        <w:jc w:val="both"/>
      </w:pPr>
      <w:r>
        <w:rPr>
          <w:rStyle w:val="Lbjegyzet-hivatkozs"/>
        </w:rPr>
        <w:t>7</w:t>
      </w:r>
      <w:r w:rsidRPr="00495E7B">
        <w:t xml:space="preserve"> A közvetítői tevékenységről szóló 2002. évi LV. törvény 15. § (1) bekezdése szerint „</w:t>
      </w:r>
      <w:r w:rsidRPr="00495E7B">
        <w:rPr>
          <w:i/>
        </w:rPr>
        <w:t>A közvetítő (a jogi személy nevében eljáró közvetítő esetében a jogi személy) minden tárgyévet követő év január 31. napjáig köteles adatszolgáltatást teljesíteni a miniszter részére a tárgyévben lefolytatott közvetítői eljárások, az eljárások során létrejött megállapodások számáról, az eredménytelenül zárult eljárások számáról (az ok megjelölésével) és a vita jellegéről</w:t>
      </w:r>
      <w:r>
        <w:rPr>
          <w:i/>
        </w:rPr>
        <w:t>.</w:t>
      </w:r>
      <w:r w:rsidRPr="00495E7B">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9D"/>
    <w:rsid w:val="002078EF"/>
    <w:rsid w:val="00946258"/>
    <w:rsid w:val="009E669D"/>
    <w:rsid w:val="00DA288E"/>
    <w:rsid w:val="00E515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13D6C-B90A-43F3-B57D-A9E985A2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9E669D"/>
    <w:pPr>
      <w:suppressAutoHyphens/>
      <w:autoSpaceDN w:val="0"/>
      <w:spacing w:after="0" w:line="240" w:lineRule="auto"/>
      <w:textAlignment w:val="baseline"/>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rsid w:val="009E669D"/>
    <w:rPr>
      <w:sz w:val="20"/>
      <w:szCs w:val="20"/>
    </w:rPr>
  </w:style>
  <w:style w:type="character" w:customStyle="1" w:styleId="LbjegyzetszvegChar">
    <w:name w:val="Lábjegyzetszöveg Char"/>
    <w:basedOn w:val="Bekezdsalapbettpusa"/>
    <w:link w:val="Lbjegyzetszveg"/>
    <w:rsid w:val="009E669D"/>
    <w:rPr>
      <w:rFonts w:ascii="Times New Roman" w:eastAsia="Times New Roman" w:hAnsi="Times New Roman" w:cs="Times New Roman"/>
      <w:sz w:val="20"/>
      <w:szCs w:val="20"/>
      <w:lang w:eastAsia="hu-HU"/>
    </w:rPr>
  </w:style>
  <w:style w:type="character" w:styleId="Lbjegyzet-hivatkozs">
    <w:name w:val="footnote reference"/>
    <w:rsid w:val="009E669D"/>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3602</Characters>
  <Application>Microsoft Office Word</Application>
  <DocSecurity>0</DocSecurity>
  <Lines>30</Lines>
  <Paragraphs>8</Paragraphs>
  <ScaleCrop>false</ScaleCrop>
  <Company>NISZ</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Fekete-Nagy Gábor dr.</dc:creator>
  <cp:keywords/>
  <dc:description/>
  <cp:lastModifiedBy>Kerle Balázs</cp:lastModifiedBy>
  <cp:revision>3</cp:revision>
  <dcterms:created xsi:type="dcterms:W3CDTF">2025-01-23T10:48:00Z</dcterms:created>
  <dcterms:modified xsi:type="dcterms:W3CDTF">2025-01-29T11:38:00Z</dcterms:modified>
</cp:coreProperties>
</file>